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C3" w:rsidRPr="00F130C3" w:rsidRDefault="00F130C3" w:rsidP="00F130C3">
      <w:r w:rsidRPr="00F130C3">
        <w:rPr>
          <w:b/>
          <w:bCs/>
          <w:i/>
          <w:iCs/>
        </w:rPr>
        <w:t>ENQUADRAMENTO</w:t>
      </w:r>
    </w:p>
    <w:p w:rsidR="00F130C3" w:rsidRPr="00F130C3" w:rsidRDefault="00F130C3" w:rsidP="00F130C3">
      <w:pPr>
        <w:spacing w:after="0" w:line="240" w:lineRule="exact"/>
        <w:jc w:val="both"/>
        <w:rPr>
          <w:rFonts w:ascii="Arial Narrow" w:hAnsi="Arial Narrow"/>
          <w:sz w:val="24"/>
          <w:szCs w:val="24"/>
        </w:rPr>
      </w:pPr>
      <w:r w:rsidRPr="00F130C3">
        <w:rPr>
          <w:rFonts w:ascii="Arial Narrow" w:hAnsi="Arial Narrow"/>
          <w:sz w:val="24"/>
          <w:szCs w:val="24"/>
        </w:rPr>
        <w:t>Terras agrícolas podem ser degradadas por muitas razões, designadamene: agricultura itinerante (ou nomadismo agrícola), sobrepastoreio, sobre-exploração de solos, desmatamento excessivo, salinização do solo após anos de irrigação intensiva, alagamento do solo, inundações repetidas, bem como pelo processo natural de desgaste das rochas (intemperismo), entre outros. Neste sentido, torna-se necessário redobrar os esforços, as medidas e as práticas de restauração dos solos degradados e, em consequência a reposição da sua fertilidade.</w:t>
      </w:r>
    </w:p>
    <w:p w:rsidR="00F130C3" w:rsidRPr="00F130C3" w:rsidRDefault="00F130C3" w:rsidP="00F130C3">
      <w:pPr>
        <w:spacing w:after="0" w:line="240" w:lineRule="exact"/>
        <w:jc w:val="both"/>
        <w:rPr>
          <w:rFonts w:ascii="Arial Narrow" w:hAnsi="Arial Narrow"/>
          <w:sz w:val="24"/>
          <w:szCs w:val="24"/>
        </w:rPr>
      </w:pPr>
      <w:r w:rsidRPr="00F130C3">
        <w:rPr>
          <w:rFonts w:ascii="Arial Narrow" w:hAnsi="Arial Narrow"/>
          <w:sz w:val="24"/>
          <w:szCs w:val="24"/>
        </w:rPr>
        <w:t xml:space="preserve">Em Junho de 2006, os líderes africanos reuniram-se em Abuja, Nigéria, com o objetivo de adotar medidas à altura da importância dos fertilizantes para uma Revolução Verde Africana. O principal resultado dessa cimeira, confirmou o empenho dos Chefes de Estado africanos em conseguir um rápido aumento no uso de fertilizantes no continente, elevando a média de 9 quilogramas por hectare em 2006 para pelo menos 50 quilogramas por hectare em 2015, objetivo esse que até à data, 2021, não foi ainda alcançado, como o demonstra os dados apresentados nas duas páginas seguintes do presente documento. </w:t>
      </w:r>
    </w:p>
    <w:p w:rsidR="00F130C3" w:rsidRPr="00F130C3" w:rsidRDefault="00F130C3" w:rsidP="00F130C3">
      <w:pPr>
        <w:spacing w:after="0" w:line="240" w:lineRule="exact"/>
        <w:jc w:val="both"/>
        <w:rPr>
          <w:rFonts w:ascii="Arial Narrow" w:hAnsi="Arial Narrow"/>
          <w:sz w:val="24"/>
          <w:szCs w:val="24"/>
        </w:rPr>
      </w:pPr>
      <w:r w:rsidRPr="00F130C3">
        <w:rPr>
          <w:rFonts w:ascii="Arial Narrow" w:hAnsi="Arial Narrow"/>
          <w:sz w:val="24"/>
          <w:szCs w:val="24"/>
        </w:rPr>
        <w:t>O  consumo médio de fertilizantes em África é de 10 kg / ha, cerca de 10% da média mundial, e quase 20 vezes menos do que a média da Ásia (191 kg / ha) e 9 vezes menos do que a média da América Latina (94 kg / ha). A fraca utilização de fertilizantes, em África, deve-se ao elevado preço dos fertilizantes, face ao poder de compra dos agricultores e a falta de alternativa oferecida aos produtores e aos agricultores.</w:t>
      </w:r>
    </w:p>
    <w:p w:rsidR="00F130C3" w:rsidRPr="00F130C3" w:rsidRDefault="00F130C3" w:rsidP="00F130C3">
      <w:pPr>
        <w:spacing w:after="0" w:line="240" w:lineRule="exact"/>
        <w:jc w:val="both"/>
        <w:rPr>
          <w:rFonts w:ascii="Arial Narrow" w:hAnsi="Arial Narrow"/>
          <w:sz w:val="24"/>
          <w:szCs w:val="24"/>
        </w:rPr>
      </w:pPr>
      <w:r w:rsidRPr="00F130C3">
        <w:rPr>
          <w:rFonts w:ascii="Arial Narrow" w:hAnsi="Arial Narrow"/>
          <w:sz w:val="24"/>
          <w:szCs w:val="24"/>
        </w:rPr>
        <w:t xml:space="preserve">Ao longo das últimas décadas relevantes centros de investigação aplicada, Universidades, Governos se dedicaram à procura de alternativas aos tradicionais fertilizantes químicos quer na perspetiva do aumento da rentabilidade agrícola, quer na qualidade dos alimentos produzidos e proteção ambiental. A aplicação de pó de rocha na agricultura revelou-se uma solução comprovada para a agricultura à altura dos desafiados que se colocam à sociedade contemporânea, quer no presente, quer no futuro. </w:t>
      </w:r>
    </w:p>
    <w:p w:rsidR="00F130C3" w:rsidRPr="00F130C3" w:rsidRDefault="00F130C3" w:rsidP="00F130C3">
      <w:pPr>
        <w:spacing w:after="0" w:line="240" w:lineRule="exact"/>
        <w:jc w:val="both"/>
        <w:rPr>
          <w:rFonts w:ascii="Arial Narrow" w:hAnsi="Arial Narrow"/>
          <w:sz w:val="24"/>
          <w:szCs w:val="24"/>
        </w:rPr>
      </w:pPr>
      <w:r w:rsidRPr="00F130C3">
        <w:rPr>
          <w:rFonts w:ascii="Arial Narrow" w:hAnsi="Arial Narrow"/>
          <w:sz w:val="24"/>
          <w:szCs w:val="24"/>
        </w:rPr>
        <w:t xml:space="preserve">As rochas basálticas possuem composição rica em elementos químicos e que são nutrientes às plantas, o que a torna apta para utilização na agricultura, melhorando a fertilidade dos solos, protegendo o ambiente, aumentando a rentabilidade agrícola e melhorando substancialmente a qualidade dos alimentos produzidos. </w:t>
      </w:r>
    </w:p>
    <w:p w:rsidR="00F130C3" w:rsidRPr="00F130C3" w:rsidRDefault="00F130C3" w:rsidP="00F130C3">
      <w:pPr>
        <w:spacing w:after="0" w:line="240" w:lineRule="exact"/>
        <w:jc w:val="both"/>
        <w:rPr>
          <w:rFonts w:ascii="Arial Narrow" w:hAnsi="Arial Narrow"/>
          <w:sz w:val="24"/>
          <w:szCs w:val="24"/>
        </w:rPr>
      </w:pPr>
      <w:r w:rsidRPr="00F130C3">
        <w:rPr>
          <w:rFonts w:ascii="Arial Narrow" w:hAnsi="Arial Narrow"/>
          <w:sz w:val="24"/>
          <w:szCs w:val="24"/>
          <w:lang w:val="pt-BR"/>
        </w:rPr>
        <w:t xml:space="preserve">O uso de pós de rocha para fertilizar os solos é uma técnica milenar (civilizações incas e egípcias já se socorriam do uso de sub-produtos de rochas para fertilização de solos), que foi sendo deixada de lado, pela ampliação do uso e da oferta dos fertilizantes solúveis. Porém, os preços ascendentes desses produtos têm deixado um numero crescente de agricultores sem opção para fertilizar os solos e, assim, garantir produções compatíveis com seus esforços e investimentos realizados. A evolução tecnológica das últimas décadas permitem a produção de pó de rochas para uso na agricultura a um custo compatível  com o poder de compra da generalidade da população. </w:t>
      </w:r>
    </w:p>
    <w:p w:rsidR="00F130C3" w:rsidRPr="00F130C3" w:rsidRDefault="00F130C3" w:rsidP="00F130C3">
      <w:pPr>
        <w:spacing w:after="0" w:line="240" w:lineRule="exact"/>
        <w:jc w:val="both"/>
        <w:rPr>
          <w:rFonts w:ascii="Arial Narrow" w:hAnsi="Arial Narrow"/>
          <w:sz w:val="24"/>
          <w:szCs w:val="24"/>
        </w:rPr>
      </w:pPr>
      <w:r w:rsidRPr="00F130C3">
        <w:rPr>
          <w:rFonts w:ascii="Arial Narrow" w:hAnsi="Arial Narrow"/>
          <w:sz w:val="24"/>
          <w:szCs w:val="24"/>
          <w:lang w:val="pt-BR"/>
        </w:rPr>
        <w:t xml:space="preserve">É neste contexto que terá lugar uma </w:t>
      </w:r>
      <w:r w:rsidRPr="00F130C3">
        <w:rPr>
          <w:rFonts w:ascii="Arial Narrow" w:hAnsi="Arial Narrow"/>
          <w:i/>
          <w:iCs/>
          <w:sz w:val="24"/>
          <w:szCs w:val="24"/>
          <w:lang w:val="pt-BR"/>
        </w:rPr>
        <w:t xml:space="preserve">«Mesa Redonda de Integração e Debates», </w:t>
      </w:r>
      <w:r w:rsidRPr="00F130C3">
        <w:rPr>
          <w:rFonts w:ascii="Arial Narrow" w:hAnsi="Arial Narrow"/>
          <w:sz w:val="24"/>
          <w:szCs w:val="24"/>
          <w:lang w:val="pt-BR"/>
        </w:rPr>
        <w:t>reunindo alguns dos mais proeminentes investigadores internacionais no domínio de uso de pó de rocha para a fertilização de solos agrícolas. Tomarão igualmente parte, nesta Mesa Redonda, professionais dos sectores de agricultura; da protecção ambiental; da nutrição; universitários; investigadores; gestores Municipais e decisores nacionais e internacionais de políticas de Desenvolvimento.</w:t>
      </w:r>
    </w:p>
    <w:p w:rsidR="00F130C3" w:rsidRPr="00F130C3" w:rsidRDefault="00F130C3" w:rsidP="00F130C3">
      <w:pPr>
        <w:spacing w:after="0" w:line="240" w:lineRule="exact"/>
        <w:jc w:val="both"/>
        <w:rPr>
          <w:rFonts w:ascii="Arial Narrow" w:hAnsi="Arial Narrow"/>
          <w:sz w:val="24"/>
          <w:szCs w:val="24"/>
        </w:rPr>
      </w:pPr>
      <w:r w:rsidRPr="00F130C3">
        <w:rPr>
          <w:rFonts w:ascii="Arial Narrow" w:hAnsi="Arial Narrow"/>
          <w:sz w:val="24"/>
          <w:szCs w:val="24"/>
          <w:lang w:val="pt-BR"/>
        </w:rPr>
        <w:t xml:space="preserve">Neste documento é apresentado, além do programa da referida </w:t>
      </w:r>
      <w:r w:rsidRPr="00F130C3">
        <w:rPr>
          <w:rFonts w:ascii="Arial Narrow" w:hAnsi="Arial Narrow"/>
          <w:i/>
          <w:iCs/>
          <w:sz w:val="24"/>
          <w:szCs w:val="24"/>
          <w:lang w:val="pt-BR"/>
        </w:rPr>
        <w:t>«Mesa Redonda»</w:t>
      </w:r>
      <w:r w:rsidRPr="00F130C3">
        <w:rPr>
          <w:rFonts w:ascii="Arial Narrow" w:hAnsi="Arial Narrow"/>
          <w:sz w:val="24"/>
          <w:szCs w:val="24"/>
          <w:lang w:val="pt-BR"/>
        </w:rPr>
        <w:t xml:space="preserve">, o </w:t>
      </w:r>
      <w:r w:rsidRPr="00F130C3">
        <w:rPr>
          <w:rFonts w:ascii="Arial Narrow" w:hAnsi="Arial Narrow"/>
          <w:i/>
          <w:iCs/>
          <w:sz w:val="24"/>
          <w:szCs w:val="24"/>
          <w:lang w:val="pt-BR"/>
        </w:rPr>
        <w:t>Guia de Discussão</w:t>
      </w:r>
      <w:r w:rsidRPr="00F130C3">
        <w:rPr>
          <w:rFonts w:ascii="Arial Narrow" w:hAnsi="Arial Narrow"/>
          <w:sz w:val="24"/>
          <w:szCs w:val="24"/>
          <w:lang w:val="pt-BR"/>
        </w:rPr>
        <w:t xml:space="preserve"> e debates que terá lugar no dia 9 de Junho de 2021.</w:t>
      </w:r>
    </w:p>
    <w:p w:rsidR="00EC1BCA" w:rsidRDefault="00EC1BCA"/>
    <w:p w:rsidR="00F130C3" w:rsidRDefault="00F130C3"/>
    <w:p w:rsidR="00F130C3" w:rsidRDefault="00F130C3"/>
    <w:p w:rsidR="00F130C3" w:rsidRDefault="00F130C3"/>
    <w:p w:rsidR="00F130C3" w:rsidRDefault="00F130C3"/>
    <w:p w:rsidR="00F130C3" w:rsidRDefault="00F130C3"/>
    <w:p w:rsidR="00F130C3" w:rsidRPr="00F130C3" w:rsidRDefault="00F130C3" w:rsidP="00F130C3">
      <w:r w:rsidRPr="00F130C3">
        <w:rPr>
          <w:b/>
          <w:bCs/>
        </w:rPr>
        <w:lastRenderedPageBreak/>
        <w:t>OBJECTIVO DA MESA REDONDA</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 xml:space="preserve">O objetivo da </w:t>
      </w:r>
      <w:r w:rsidRPr="00F130C3">
        <w:rPr>
          <w:rFonts w:ascii="Arial Narrow" w:hAnsi="Arial Narrow"/>
          <w:i/>
          <w:iCs/>
          <w:sz w:val="24"/>
          <w:szCs w:val="24"/>
        </w:rPr>
        <w:t>«Mesa Redonda de Integração e Debates»</w:t>
      </w:r>
      <w:r w:rsidRPr="00F130C3">
        <w:rPr>
          <w:rFonts w:ascii="Arial Narrow" w:hAnsi="Arial Narrow"/>
          <w:sz w:val="24"/>
          <w:szCs w:val="24"/>
        </w:rPr>
        <w:t xml:space="preserve">, é possibilitar os conhecimentos científicos e tecnológicos e a partilha de experiências nacionais, regionais e internacionais no contexto de uso de pó de basalto na </w:t>
      </w:r>
      <w:r w:rsidRPr="00F130C3">
        <w:rPr>
          <w:rFonts w:ascii="Arial Narrow" w:hAnsi="Arial Narrow"/>
          <w:sz w:val="24"/>
          <w:szCs w:val="24"/>
          <w:lang w:val="pt-BR"/>
        </w:rPr>
        <w:t xml:space="preserve">fertilização de solos agrícolas </w:t>
      </w:r>
      <w:r w:rsidRPr="00F130C3">
        <w:rPr>
          <w:rFonts w:ascii="Arial Narrow" w:hAnsi="Arial Narrow"/>
          <w:sz w:val="24"/>
          <w:szCs w:val="24"/>
        </w:rPr>
        <w:t>e suas vantagens a nível do aumento da rentabilidade agrícola, na qualidade dos alimentos produzidos e na proteção ambiental.</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 xml:space="preserve">A Mesa Redonda reforça o enfoque nos fundamentos científicos e tecnológicos de </w:t>
      </w:r>
      <w:r w:rsidRPr="00F130C3">
        <w:rPr>
          <w:rFonts w:ascii="Arial Narrow" w:hAnsi="Arial Narrow"/>
          <w:i/>
          <w:iCs/>
          <w:sz w:val="24"/>
          <w:szCs w:val="24"/>
        </w:rPr>
        <w:t xml:space="preserve">«Rochagem» </w:t>
      </w:r>
      <w:r w:rsidRPr="00F130C3">
        <w:rPr>
          <w:rFonts w:ascii="Arial Narrow" w:hAnsi="Arial Narrow"/>
          <w:sz w:val="24"/>
          <w:szCs w:val="24"/>
        </w:rPr>
        <w:t>como instrumento adequado de resposta à segurança alimentar, à uma alimentação saudável e à proteção ambiental.</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 xml:space="preserve">A Mesa Redonda tem igualmente como objectivo disponibilizar aos decisores públicos e privados um conjunto de instrumentos e conhecimentos podendo servir de apoio às políticas orientadas para boas práticas de uma agricultura rentável e sustentável fundada em tecnologia de </w:t>
      </w:r>
      <w:r w:rsidRPr="00F130C3">
        <w:rPr>
          <w:rFonts w:ascii="Arial Narrow" w:hAnsi="Arial Narrow"/>
          <w:i/>
          <w:iCs/>
          <w:sz w:val="24"/>
          <w:szCs w:val="24"/>
        </w:rPr>
        <w:t>«Rochagem»</w:t>
      </w:r>
      <w:r w:rsidRPr="00F130C3">
        <w:rPr>
          <w:rFonts w:ascii="Arial Narrow" w:hAnsi="Arial Narrow"/>
          <w:sz w:val="24"/>
          <w:szCs w:val="24"/>
        </w:rPr>
        <w:t>, designadamente nos domínios da investição científica; de processos legislativo; de processos de regulamentação e de controlo da qualidade dos alimentos produzidos com base na utilização de pós de rochas na fertilização de solos agrícolas.</w:t>
      </w:r>
    </w:p>
    <w:p w:rsidR="00F130C3" w:rsidRDefault="00F130C3"/>
    <w:p w:rsidR="00F130C3" w:rsidRDefault="00F130C3"/>
    <w:p w:rsidR="00F130C3" w:rsidRPr="00F130C3" w:rsidRDefault="00F130C3" w:rsidP="00F130C3">
      <w:r w:rsidRPr="00F130C3">
        <w:rPr>
          <w:b/>
          <w:bCs/>
        </w:rPr>
        <w:t>PARTICIPANTES</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A «Mesa Redonda de Integração e Debates» proporcionará uma oportunidade, relevante, para um diálogo entre investigadores de méritos internacionalmente reconhecidos e representantes de alto nível de instituições nacionais e internacionais; responsáveis pela agricultura, ambiente e nutrição dos diferentes Municípios; Investigadores; Universidades e os agentes de Desenvolvimentio e geral.</w:t>
      </w:r>
    </w:p>
    <w:p w:rsidR="00F130C3" w:rsidRDefault="00F130C3" w:rsidP="00F130C3">
      <w:pPr>
        <w:jc w:val="both"/>
        <w:rPr>
          <w:rFonts w:ascii="Arial Narrow" w:hAnsi="Arial Narrow"/>
          <w:sz w:val="24"/>
          <w:szCs w:val="24"/>
        </w:rPr>
      </w:pPr>
      <w:r w:rsidRPr="00F130C3">
        <w:rPr>
          <w:rFonts w:ascii="Arial Narrow" w:hAnsi="Arial Narrow"/>
          <w:sz w:val="24"/>
          <w:szCs w:val="24"/>
        </w:rPr>
        <w:t xml:space="preserve">A «Mesa Redonda de Integração e Debates» será aberta a todos os participantes na Conferência Internacional intitulada </w:t>
      </w:r>
      <w:r w:rsidRPr="00F130C3">
        <w:rPr>
          <w:rFonts w:ascii="Arial Narrow" w:hAnsi="Arial Narrow"/>
          <w:i/>
          <w:iCs/>
          <w:sz w:val="24"/>
          <w:szCs w:val="24"/>
        </w:rPr>
        <w:t>«BASALT CONFERENCE»</w:t>
      </w:r>
      <w:r w:rsidRPr="00F130C3">
        <w:rPr>
          <w:rFonts w:ascii="Arial Narrow" w:hAnsi="Arial Narrow"/>
          <w:sz w:val="24"/>
          <w:szCs w:val="24"/>
        </w:rPr>
        <w:t xml:space="preserve"> e todos os demais interessados, nomeadamente, representantes de organizações não governamentais também serão convidados a participar.</w:t>
      </w: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Pr="00F130C3" w:rsidRDefault="00F130C3" w:rsidP="00F130C3">
      <w:pPr>
        <w:jc w:val="both"/>
        <w:rPr>
          <w:rFonts w:ascii="Arial Narrow" w:hAnsi="Arial Narrow"/>
          <w:sz w:val="24"/>
          <w:szCs w:val="24"/>
        </w:rPr>
      </w:pPr>
      <w:r w:rsidRPr="00F130C3">
        <w:rPr>
          <w:rFonts w:ascii="Arial Narrow" w:hAnsi="Arial Narrow"/>
          <w:b/>
          <w:bCs/>
          <w:sz w:val="24"/>
          <w:szCs w:val="24"/>
        </w:rPr>
        <w:lastRenderedPageBreak/>
        <w:t>Guia para a discussão na mesa redonda</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 xml:space="preserve">As intervenções na «Mesa Redonda de Integração e Debates» devem focar no uso de pó de rocha na agricultura e sua especificidade científicá e tecnológica. Entre essas especificidades científicas e tecnológicas, os intervenientes podem abordar: </w:t>
      </w:r>
    </w:p>
    <w:p w:rsidR="00000000" w:rsidRPr="00F130C3" w:rsidRDefault="00F130C3" w:rsidP="00F130C3">
      <w:pPr>
        <w:numPr>
          <w:ilvl w:val="0"/>
          <w:numId w:val="1"/>
        </w:numPr>
        <w:jc w:val="both"/>
        <w:rPr>
          <w:rFonts w:ascii="Arial Narrow" w:hAnsi="Arial Narrow"/>
          <w:sz w:val="24"/>
          <w:szCs w:val="24"/>
        </w:rPr>
      </w:pPr>
      <w:r w:rsidRPr="00F130C3">
        <w:rPr>
          <w:rFonts w:ascii="Arial Narrow" w:hAnsi="Arial Narrow"/>
          <w:sz w:val="24"/>
          <w:szCs w:val="24"/>
        </w:rPr>
        <w:t>Realidades actuais e históricas de</w:t>
      </w:r>
      <w:r w:rsidRPr="00F130C3">
        <w:rPr>
          <w:rFonts w:ascii="Arial Narrow" w:hAnsi="Arial Narrow"/>
          <w:sz w:val="24"/>
          <w:szCs w:val="24"/>
        </w:rPr>
        <w:t xml:space="preserve"> uso de pó de rocha na fertilização de terras agrícolas; </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b) As orientações gerais e tendências de políticas públicas, fatores científicos, tecnológicos e ambientais que sustentam os fundamentos de uso de pó de rocha na fertilização de solos agrícolas;</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c) As diferentes categorias e tipos de nutrientes e que integram a composição química do basalto dando-lhe condições naturaris de fertilizantes naturais;</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 xml:space="preserve">d) Mecanismos e processos de investiçaão científica, tecnológica, processo de legislação, regulamentação e controlo de uso de pó de basalto na agricultura; </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e) Mecanismos e seus respectivos papéis e funções na formulação, implementação, controlo e monitorização da qualidade de alimentos produzidos com base no uso de pó de rocha na fertilização de solos agrícolas;</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f) As relações entre o uso de pó de rocha na fertilização de solos agrícolas e a rentabilidade agrícola e qualidade dos alimentos produzidos;</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g) Os tipos e qualidades de solos agrícola susceptíveis de beneficiar e potencias a uso de pó de rocha da respectiva fertilização;</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h) As tendências na evolução presente e futuro de uso de pó de ronha na agricultura;</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i) A relação causa e efeito entre uso de pó de rocha na fertilização de solos agrícolas e seus efeitos na preservação do ambiente.</w:t>
      </w:r>
    </w:p>
    <w:p w:rsidR="00F130C3" w:rsidRDefault="00F130C3" w:rsidP="00F130C3">
      <w:pPr>
        <w:jc w:val="both"/>
        <w:rPr>
          <w:rFonts w:ascii="Arial Narrow" w:hAnsi="Arial Narrow"/>
          <w:sz w:val="24"/>
          <w:szCs w:val="24"/>
        </w:rPr>
      </w:pPr>
      <w:r w:rsidRPr="00F130C3">
        <w:rPr>
          <w:rFonts w:ascii="Arial Narrow" w:hAnsi="Arial Narrow"/>
          <w:sz w:val="24"/>
          <w:szCs w:val="24"/>
        </w:rPr>
        <w:t>Após Intervenções dos especialistas em cada tema que faz parte do programa da «Mesa Redonda de Integração e Debates», abrirá um periódo de debates em que todos os presentes poderão intervir apresentando as suas visões, bem como confrontar os especialistas com questões estrtitamente relacionados com os Temas em Debates.</w:t>
      </w: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Pr="00F130C3" w:rsidRDefault="00F130C3" w:rsidP="00F130C3">
      <w:pPr>
        <w:jc w:val="both"/>
        <w:rPr>
          <w:rFonts w:ascii="Arial Narrow" w:hAnsi="Arial Narrow"/>
          <w:sz w:val="24"/>
          <w:szCs w:val="24"/>
        </w:rPr>
      </w:pPr>
      <w:r w:rsidRPr="00F130C3">
        <w:rPr>
          <w:rFonts w:ascii="Arial Narrow" w:hAnsi="Arial Narrow"/>
          <w:b/>
          <w:bCs/>
          <w:sz w:val="24"/>
          <w:szCs w:val="24"/>
        </w:rPr>
        <w:lastRenderedPageBreak/>
        <w:t>FUNCIONAMENTO DOS DEBATES</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Para permitir o diálogo entre os participantes da Mesa Redonda, em cada Tema existirão dois momentos de intervenções: um primeiro momento é reservado aos membros dos painés que farão as respectivas intervenções; e, após intervenções dos membros dos painéis todos os participantes serão convidados a intervir.</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As discussões levarão a uma livre troca de experiências, lições aprendidas e boas práticas de uso de pó de rochas na fertilização de solos agrícolas, e a uma visão geral informal dos desafios que se colocam ao uso massivo de pó de rocha na fertilização de solos agrícolas. Essas discuções serão animadas de forma dinâmica com o objetivo de preservar seu caráter interativo e será gerido por um M</w:t>
      </w:r>
      <w:bookmarkStart w:id="0" w:name="_GoBack"/>
      <w:bookmarkEnd w:id="0"/>
      <w:r w:rsidRPr="00F130C3">
        <w:rPr>
          <w:rFonts w:ascii="Arial Narrow" w:hAnsi="Arial Narrow"/>
          <w:sz w:val="24"/>
          <w:szCs w:val="24"/>
        </w:rPr>
        <w:t xml:space="preserve">oderador que integra o elenco de cada painel / Tema. </w:t>
      </w:r>
    </w:p>
    <w:p w:rsidR="00F130C3" w:rsidRPr="00F130C3" w:rsidRDefault="00F130C3" w:rsidP="00F130C3">
      <w:pPr>
        <w:jc w:val="both"/>
        <w:rPr>
          <w:rFonts w:ascii="Arial Narrow" w:hAnsi="Arial Narrow"/>
          <w:sz w:val="24"/>
          <w:szCs w:val="24"/>
        </w:rPr>
      </w:pPr>
      <w:r w:rsidRPr="00F130C3">
        <w:rPr>
          <w:rFonts w:ascii="Arial Narrow" w:hAnsi="Arial Narrow"/>
          <w:sz w:val="24"/>
          <w:szCs w:val="24"/>
        </w:rPr>
        <w:t xml:space="preserve">Os participantes serão convidados pelo Moderador a fazer breves intervenções / comentários, fazer perguntas e responder aos palestrantes / especialistas dos Painés, e não se limitar apenas a ler uma declaração previamente preparada, assumindo, assim, os debates a forma de um diálogo entre os especialistas e os Participantes. Cada intervenção dos participantes não devem exceder três minutos, de modo a permitir que um número máximo de participantes possam intervir. </w:t>
      </w:r>
    </w:p>
    <w:p w:rsidR="00F130C3" w:rsidRDefault="00F130C3" w:rsidP="00F130C3">
      <w:pPr>
        <w:jc w:val="both"/>
        <w:rPr>
          <w:rFonts w:ascii="Arial Narrow" w:hAnsi="Arial Narrow"/>
          <w:sz w:val="24"/>
          <w:szCs w:val="24"/>
        </w:rPr>
      </w:pPr>
    </w:p>
    <w:p w:rsidR="00F130C3" w:rsidRPr="00F130C3" w:rsidRDefault="00F130C3" w:rsidP="00F130C3">
      <w:pPr>
        <w:jc w:val="both"/>
        <w:rPr>
          <w:rFonts w:ascii="Arial Narrow" w:hAnsi="Arial Narrow"/>
          <w:sz w:val="24"/>
          <w:szCs w:val="24"/>
        </w:rPr>
      </w:pPr>
    </w:p>
    <w:p w:rsidR="00F130C3" w:rsidRDefault="00F130C3" w:rsidP="00F130C3">
      <w:pPr>
        <w:jc w:val="both"/>
        <w:rPr>
          <w:rFonts w:ascii="Arial Narrow" w:hAnsi="Arial Narrow"/>
          <w:sz w:val="24"/>
          <w:szCs w:val="24"/>
        </w:rPr>
      </w:pPr>
    </w:p>
    <w:p w:rsidR="00F130C3" w:rsidRPr="00F130C3" w:rsidRDefault="00F130C3" w:rsidP="00F130C3">
      <w:pPr>
        <w:jc w:val="both"/>
        <w:rPr>
          <w:rFonts w:ascii="Arial Narrow" w:hAnsi="Arial Narrow"/>
          <w:sz w:val="24"/>
          <w:szCs w:val="24"/>
        </w:rPr>
      </w:pPr>
    </w:p>
    <w:p w:rsidR="00F130C3" w:rsidRDefault="00F130C3"/>
    <w:sectPr w:rsidR="00F130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76469"/>
    <w:multiLevelType w:val="hybridMultilevel"/>
    <w:tmpl w:val="DA3E2FB2"/>
    <w:lvl w:ilvl="0" w:tplc="333E2F9A">
      <w:start w:val="1"/>
      <w:numFmt w:val="lowerLetter"/>
      <w:lvlText w:val="(%1)"/>
      <w:lvlJc w:val="left"/>
      <w:pPr>
        <w:tabs>
          <w:tab w:val="num" w:pos="720"/>
        </w:tabs>
        <w:ind w:left="720" w:hanging="360"/>
      </w:pPr>
    </w:lvl>
    <w:lvl w:ilvl="1" w:tplc="B1EA1382" w:tentative="1">
      <w:start w:val="1"/>
      <w:numFmt w:val="lowerLetter"/>
      <w:lvlText w:val="(%2)"/>
      <w:lvlJc w:val="left"/>
      <w:pPr>
        <w:tabs>
          <w:tab w:val="num" w:pos="1440"/>
        </w:tabs>
        <w:ind w:left="1440" w:hanging="360"/>
      </w:pPr>
    </w:lvl>
    <w:lvl w:ilvl="2" w:tplc="AC42E18C" w:tentative="1">
      <w:start w:val="1"/>
      <w:numFmt w:val="lowerLetter"/>
      <w:lvlText w:val="(%3)"/>
      <w:lvlJc w:val="left"/>
      <w:pPr>
        <w:tabs>
          <w:tab w:val="num" w:pos="2160"/>
        </w:tabs>
        <w:ind w:left="2160" w:hanging="360"/>
      </w:pPr>
    </w:lvl>
    <w:lvl w:ilvl="3" w:tplc="6C9E6E0C" w:tentative="1">
      <w:start w:val="1"/>
      <w:numFmt w:val="lowerLetter"/>
      <w:lvlText w:val="(%4)"/>
      <w:lvlJc w:val="left"/>
      <w:pPr>
        <w:tabs>
          <w:tab w:val="num" w:pos="2880"/>
        </w:tabs>
        <w:ind w:left="2880" w:hanging="360"/>
      </w:pPr>
    </w:lvl>
    <w:lvl w:ilvl="4" w:tplc="1F986C7A" w:tentative="1">
      <w:start w:val="1"/>
      <w:numFmt w:val="lowerLetter"/>
      <w:lvlText w:val="(%5)"/>
      <w:lvlJc w:val="left"/>
      <w:pPr>
        <w:tabs>
          <w:tab w:val="num" w:pos="3600"/>
        </w:tabs>
        <w:ind w:left="3600" w:hanging="360"/>
      </w:pPr>
    </w:lvl>
    <w:lvl w:ilvl="5" w:tplc="F2B83ACC" w:tentative="1">
      <w:start w:val="1"/>
      <w:numFmt w:val="lowerLetter"/>
      <w:lvlText w:val="(%6)"/>
      <w:lvlJc w:val="left"/>
      <w:pPr>
        <w:tabs>
          <w:tab w:val="num" w:pos="4320"/>
        </w:tabs>
        <w:ind w:left="4320" w:hanging="360"/>
      </w:pPr>
    </w:lvl>
    <w:lvl w:ilvl="6" w:tplc="F9A0F79A" w:tentative="1">
      <w:start w:val="1"/>
      <w:numFmt w:val="lowerLetter"/>
      <w:lvlText w:val="(%7)"/>
      <w:lvlJc w:val="left"/>
      <w:pPr>
        <w:tabs>
          <w:tab w:val="num" w:pos="5040"/>
        </w:tabs>
        <w:ind w:left="5040" w:hanging="360"/>
      </w:pPr>
    </w:lvl>
    <w:lvl w:ilvl="7" w:tplc="7A9E6B1E" w:tentative="1">
      <w:start w:val="1"/>
      <w:numFmt w:val="lowerLetter"/>
      <w:lvlText w:val="(%8)"/>
      <w:lvlJc w:val="left"/>
      <w:pPr>
        <w:tabs>
          <w:tab w:val="num" w:pos="5760"/>
        </w:tabs>
        <w:ind w:left="5760" w:hanging="360"/>
      </w:pPr>
    </w:lvl>
    <w:lvl w:ilvl="8" w:tplc="FFA8876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C3"/>
    <w:rsid w:val="00EC1BCA"/>
    <w:rsid w:val="00F130C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8828">
      <w:bodyDiv w:val="1"/>
      <w:marLeft w:val="0"/>
      <w:marRight w:val="0"/>
      <w:marTop w:val="0"/>
      <w:marBottom w:val="0"/>
      <w:divBdr>
        <w:top w:val="none" w:sz="0" w:space="0" w:color="auto"/>
        <w:left w:val="none" w:sz="0" w:space="0" w:color="auto"/>
        <w:bottom w:val="none" w:sz="0" w:space="0" w:color="auto"/>
        <w:right w:val="none" w:sz="0" w:space="0" w:color="auto"/>
      </w:divBdr>
    </w:div>
    <w:div w:id="89933461">
      <w:bodyDiv w:val="1"/>
      <w:marLeft w:val="0"/>
      <w:marRight w:val="0"/>
      <w:marTop w:val="0"/>
      <w:marBottom w:val="0"/>
      <w:divBdr>
        <w:top w:val="none" w:sz="0" w:space="0" w:color="auto"/>
        <w:left w:val="none" w:sz="0" w:space="0" w:color="auto"/>
        <w:bottom w:val="none" w:sz="0" w:space="0" w:color="auto"/>
        <w:right w:val="none" w:sz="0" w:space="0" w:color="auto"/>
      </w:divBdr>
    </w:div>
    <w:div w:id="440104652">
      <w:bodyDiv w:val="1"/>
      <w:marLeft w:val="0"/>
      <w:marRight w:val="0"/>
      <w:marTop w:val="0"/>
      <w:marBottom w:val="0"/>
      <w:divBdr>
        <w:top w:val="none" w:sz="0" w:space="0" w:color="auto"/>
        <w:left w:val="none" w:sz="0" w:space="0" w:color="auto"/>
        <w:bottom w:val="none" w:sz="0" w:space="0" w:color="auto"/>
        <w:right w:val="none" w:sz="0" w:space="0" w:color="auto"/>
      </w:divBdr>
    </w:div>
    <w:div w:id="472991131">
      <w:bodyDiv w:val="1"/>
      <w:marLeft w:val="0"/>
      <w:marRight w:val="0"/>
      <w:marTop w:val="0"/>
      <w:marBottom w:val="0"/>
      <w:divBdr>
        <w:top w:val="none" w:sz="0" w:space="0" w:color="auto"/>
        <w:left w:val="none" w:sz="0" w:space="0" w:color="auto"/>
        <w:bottom w:val="none" w:sz="0" w:space="0" w:color="auto"/>
        <w:right w:val="none" w:sz="0" w:space="0" w:color="auto"/>
      </w:divBdr>
    </w:div>
    <w:div w:id="963731916">
      <w:bodyDiv w:val="1"/>
      <w:marLeft w:val="0"/>
      <w:marRight w:val="0"/>
      <w:marTop w:val="0"/>
      <w:marBottom w:val="0"/>
      <w:divBdr>
        <w:top w:val="none" w:sz="0" w:space="0" w:color="auto"/>
        <w:left w:val="none" w:sz="0" w:space="0" w:color="auto"/>
        <w:bottom w:val="none" w:sz="0" w:space="0" w:color="auto"/>
        <w:right w:val="none" w:sz="0" w:space="0" w:color="auto"/>
      </w:divBdr>
    </w:div>
    <w:div w:id="1259487189">
      <w:bodyDiv w:val="1"/>
      <w:marLeft w:val="0"/>
      <w:marRight w:val="0"/>
      <w:marTop w:val="0"/>
      <w:marBottom w:val="0"/>
      <w:divBdr>
        <w:top w:val="none" w:sz="0" w:space="0" w:color="auto"/>
        <w:left w:val="none" w:sz="0" w:space="0" w:color="auto"/>
        <w:bottom w:val="none" w:sz="0" w:space="0" w:color="auto"/>
        <w:right w:val="none" w:sz="0" w:space="0" w:color="auto"/>
      </w:divBdr>
    </w:div>
    <w:div w:id="1287470253">
      <w:bodyDiv w:val="1"/>
      <w:marLeft w:val="0"/>
      <w:marRight w:val="0"/>
      <w:marTop w:val="0"/>
      <w:marBottom w:val="0"/>
      <w:divBdr>
        <w:top w:val="none" w:sz="0" w:space="0" w:color="auto"/>
        <w:left w:val="none" w:sz="0" w:space="0" w:color="auto"/>
        <w:bottom w:val="none" w:sz="0" w:space="0" w:color="auto"/>
        <w:right w:val="none" w:sz="0" w:space="0" w:color="auto"/>
      </w:divBdr>
      <w:divsChild>
        <w:div w:id="1600984504">
          <w:marLeft w:val="360"/>
          <w:marRight w:val="0"/>
          <w:marTop w:val="0"/>
          <w:marBottom w:val="0"/>
          <w:divBdr>
            <w:top w:val="none" w:sz="0" w:space="0" w:color="auto"/>
            <w:left w:val="none" w:sz="0" w:space="0" w:color="auto"/>
            <w:bottom w:val="none" w:sz="0" w:space="0" w:color="auto"/>
            <w:right w:val="none" w:sz="0" w:space="0" w:color="auto"/>
          </w:divBdr>
        </w:div>
      </w:divsChild>
    </w:div>
    <w:div w:id="1832134582">
      <w:bodyDiv w:val="1"/>
      <w:marLeft w:val="0"/>
      <w:marRight w:val="0"/>
      <w:marTop w:val="0"/>
      <w:marBottom w:val="0"/>
      <w:divBdr>
        <w:top w:val="none" w:sz="0" w:space="0" w:color="auto"/>
        <w:left w:val="none" w:sz="0" w:space="0" w:color="auto"/>
        <w:bottom w:val="none" w:sz="0" w:space="0" w:color="auto"/>
        <w:right w:val="none" w:sz="0" w:space="0" w:color="auto"/>
      </w:divBdr>
    </w:div>
    <w:div w:id="18803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1349</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2021-02-03T12:07:00Z</dcterms:created>
  <dcterms:modified xsi:type="dcterms:W3CDTF">2021-02-03T12:13:00Z</dcterms:modified>
</cp:coreProperties>
</file>